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AAAEB">
      <w:pPr>
        <w:pStyle w:val="2"/>
        <w:rPr>
          <w:rFonts w:hint="eastAsia"/>
          <w:color w:val="auto"/>
          <w:highlight w:val="none"/>
        </w:rPr>
      </w:pPr>
      <w:bookmarkStart w:id="0" w:name="_Toc6787"/>
      <w:r>
        <w:rPr>
          <w:rFonts w:hint="eastAsia"/>
          <w:color w:val="auto"/>
          <w:highlight w:val="none"/>
        </w:rPr>
        <w:t>第八章 拟签订采购合同文本</w:t>
      </w:r>
      <w:bookmarkEnd w:id="0"/>
    </w:p>
    <w:p w14:paraId="27D90DEA">
      <w:pPr>
        <w:widowControl/>
        <w:kinsoku w:val="0"/>
        <w:autoSpaceDE w:val="0"/>
        <w:autoSpaceDN w:val="0"/>
        <w:adjustRightInd w:val="0"/>
        <w:snapToGrid w:val="0"/>
        <w:jc w:val="left"/>
        <w:textAlignment w:val="baseline"/>
        <w:rPr>
          <w:rFonts w:hint="eastAsia" w:ascii="宋体" w:hAnsi="宋体" w:cs="宋体"/>
          <w:b/>
          <w:bCs/>
          <w:snapToGrid w:val="0"/>
          <w:color w:val="auto"/>
          <w:kern w:val="0"/>
          <w:sz w:val="30"/>
          <w:szCs w:val="30"/>
          <w:highlight w:val="none"/>
        </w:rPr>
      </w:pPr>
    </w:p>
    <w:p w14:paraId="34A75148">
      <w:pPr>
        <w:widowControl/>
        <w:kinsoku w:val="0"/>
        <w:autoSpaceDE w:val="0"/>
        <w:autoSpaceDN w:val="0"/>
        <w:adjustRightInd w:val="0"/>
        <w:snapToGrid w:val="0"/>
        <w:jc w:val="left"/>
        <w:textAlignment w:val="baseline"/>
        <w:rPr>
          <w:rFonts w:hint="eastAsia" w:ascii="宋体" w:hAnsi="宋体" w:cs="宋体"/>
          <w:b/>
          <w:bCs/>
          <w:snapToGrid w:val="0"/>
          <w:color w:val="auto"/>
          <w:kern w:val="0"/>
          <w:sz w:val="30"/>
          <w:szCs w:val="30"/>
          <w:highlight w:val="none"/>
        </w:rPr>
      </w:pPr>
    </w:p>
    <w:p w14:paraId="6C1C4857">
      <w:pPr>
        <w:widowControl/>
        <w:kinsoku w:val="0"/>
        <w:autoSpaceDE w:val="0"/>
        <w:autoSpaceDN w:val="0"/>
        <w:adjustRightInd w:val="0"/>
        <w:snapToGrid w:val="0"/>
        <w:jc w:val="left"/>
        <w:textAlignment w:val="baseline"/>
        <w:rPr>
          <w:rFonts w:ascii="宋体" w:hAnsi="宋体" w:cs="宋体"/>
          <w:b/>
          <w:bCs/>
          <w:snapToGrid w:val="0"/>
          <w:color w:val="auto"/>
          <w:kern w:val="0"/>
          <w:sz w:val="28"/>
          <w:szCs w:val="28"/>
          <w:highlight w:val="none"/>
          <w:u w:val="single"/>
        </w:rPr>
      </w:pPr>
      <w:r>
        <w:rPr>
          <w:rFonts w:hint="eastAsia" w:ascii="宋体" w:hAnsi="宋体" w:cs="宋体"/>
          <w:b/>
          <w:bCs/>
          <w:snapToGrid w:val="0"/>
          <w:color w:val="auto"/>
          <w:kern w:val="0"/>
          <w:sz w:val="28"/>
          <w:szCs w:val="28"/>
          <w:highlight w:val="none"/>
        </w:rPr>
        <w:t>政府采购项目                     合同编号：</w:t>
      </w:r>
      <w:r>
        <w:rPr>
          <w:rFonts w:hint="eastAsia" w:ascii="宋体" w:hAnsi="宋体" w:cs="宋体"/>
          <w:b/>
          <w:bCs/>
          <w:color w:val="auto"/>
          <w:sz w:val="28"/>
          <w:szCs w:val="28"/>
          <w:highlight w:val="none"/>
          <w:u w:val="single"/>
        </w:rPr>
        <w:t xml:space="preserve">              </w:t>
      </w:r>
    </w:p>
    <w:p w14:paraId="2864DD0D">
      <w:pPr>
        <w:spacing w:line="324" w:lineRule="auto"/>
        <w:rPr>
          <w:rFonts w:hint="eastAsia" w:ascii="Times New Roman" w:hAnsi="宋体" w:cs="宋体"/>
          <w:b/>
          <w:bCs/>
          <w:color w:val="auto"/>
          <w:sz w:val="22"/>
          <w:szCs w:val="22"/>
          <w:highlight w:val="none"/>
        </w:rPr>
      </w:pPr>
    </w:p>
    <w:p w14:paraId="72D51427">
      <w:pPr>
        <w:spacing w:line="324" w:lineRule="auto"/>
        <w:rPr>
          <w:rFonts w:hint="eastAsia" w:ascii="Times New Roman" w:hAnsi="宋体" w:cs="宋体"/>
          <w:b/>
          <w:bCs/>
          <w:color w:val="auto"/>
          <w:sz w:val="22"/>
          <w:szCs w:val="22"/>
          <w:highlight w:val="none"/>
        </w:rPr>
      </w:pPr>
    </w:p>
    <w:p w14:paraId="19EAE212">
      <w:pPr>
        <w:spacing w:line="324" w:lineRule="auto"/>
        <w:rPr>
          <w:rFonts w:hint="eastAsia" w:ascii="Times New Roman" w:hAnsi="Times New Roman"/>
          <w:color w:val="auto"/>
          <w:sz w:val="20"/>
          <w:szCs w:val="20"/>
          <w:highlight w:val="none"/>
        </w:rPr>
      </w:pPr>
    </w:p>
    <w:p w14:paraId="0EEA8800">
      <w:pPr>
        <w:pStyle w:val="3"/>
        <w:rPr>
          <w:rFonts w:hint="eastAsia" w:ascii="Times New Roman" w:hAnsi="Times New Roman"/>
          <w:color w:val="auto"/>
          <w:sz w:val="20"/>
          <w:highlight w:val="none"/>
        </w:rPr>
      </w:pPr>
    </w:p>
    <w:p w14:paraId="06952DA3">
      <w:pPr>
        <w:rPr>
          <w:rFonts w:hint="eastAsia"/>
          <w:color w:val="auto"/>
          <w:sz w:val="20"/>
          <w:szCs w:val="22"/>
          <w:highlight w:val="none"/>
        </w:rPr>
      </w:pPr>
    </w:p>
    <w:p w14:paraId="3A8661B8">
      <w:pPr>
        <w:pStyle w:val="4"/>
        <w:ind w:hanging="7"/>
        <w:jc w:val="center"/>
        <w:rPr>
          <w:rFonts w:hint="eastAsia" w:ascii="宋体" w:hAnsi="宋体" w:eastAsia="宋体" w:cs="宋体"/>
          <w:b/>
          <w:bCs/>
          <w:color w:val="auto"/>
          <w:kern w:val="0"/>
          <w:sz w:val="40"/>
          <w:szCs w:val="40"/>
          <w:highlight w:val="none"/>
          <w:lang w:eastAsia="zh-CN"/>
        </w:rPr>
      </w:pPr>
    </w:p>
    <w:p w14:paraId="0A8C40A5">
      <w:pPr>
        <w:pStyle w:val="4"/>
        <w:ind w:hanging="7"/>
        <w:jc w:val="center"/>
        <w:rPr>
          <w:rFonts w:hint="eastAsia" w:ascii="宋体" w:hAnsi="宋体" w:eastAsia="宋体" w:cs="宋体"/>
          <w:b/>
          <w:bCs/>
          <w:color w:val="auto"/>
          <w:kern w:val="0"/>
          <w:sz w:val="40"/>
          <w:szCs w:val="40"/>
          <w:highlight w:val="none"/>
          <w:lang w:eastAsia="zh-CN"/>
        </w:rPr>
      </w:pPr>
    </w:p>
    <w:p w14:paraId="049E44C4">
      <w:pPr>
        <w:pStyle w:val="4"/>
        <w:ind w:hanging="7"/>
        <w:jc w:val="center"/>
        <w:rPr>
          <w:rFonts w:ascii="宋体" w:hAnsi="宋体" w:eastAsia="宋体" w:cs="宋体"/>
          <w:b/>
          <w:bCs/>
          <w:color w:val="auto"/>
          <w:kern w:val="0"/>
          <w:sz w:val="40"/>
          <w:szCs w:val="40"/>
          <w:highlight w:val="none"/>
          <w:lang w:eastAsia="zh-CN"/>
        </w:rPr>
      </w:pPr>
      <w:r>
        <w:rPr>
          <w:rFonts w:hint="eastAsia" w:ascii="宋体" w:hAnsi="宋体" w:eastAsia="宋体" w:cs="宋体"/>
          <w:b/>
          <w:bCs/>
          <w:color w:val="auto"/>
          <w:kern w:val="0"/>
          <w:sz w:val="40"/>
          <w:szCs w:val="40"/>
          <w:highlight w:val="none"/>
          <w:lang w:eastAsia="zh-CN"/>
        </w:rPr>
        <w:t>（大件运输许可咨询）</w:t>
      </w:r>
    </w:p>
    <w:p w14:paraId="559300FF">
      <w:pPr>
        <w:pStyle w:val="4"/>
        <w:ind w:hanging="7"/>
        <w:jc w:val="center"/>
        <w:rPr>
          <w:rFonts w:ascii="宋体" w:hAnsi="宋体" w:eastAsia="宋体" w:cs="宋体"/>
          <w:b/>
          <w:bCs/>
          <w:color w:val="auto"/>
          <w:kern w:val="0"/>
          <w:sz w:val="40"/>
          <w:szCs w:val="40"/>
          <w:highlight w:val="none"/>
          <w:lang w:eastAsia="zh-CN"/>
        </w:rPr>
      </w:pPr>
      <w:r>
        <w:rPr>
          <w:rFonts w:hint="eastAsia" w:ascii="宋体" w:hAnsi="宋体" w:eastAsia="宋体" w:cs="宋体"/>
          <w:b/>
          <w:bCs/>
          <w:color w:val="auto"/>
          <w:kern w:val="0"/>
          <w:sz w:val="40"/>
          <w:szCs w:val="40"/>
          <w:highlight w:val="none"/>
          <w:lang w:eastAsia="zh-CN"/>
        </w:rPr>
        <w:t>服务合同</w:t>
      </w:r>
    </w:p>
    <w:p w14:paraId="13841305">
      <w:pPr>
        <w:spacing w:line="324" w:lineRule="auto"/>
        <w:rPr>
          <w:rFonts w:hint="eastAsia" w:ascii="Times New Roman" w:hAnsi="宋体" w:cs="宋体"/>
          <w:color w:val="auto"/>
          <w:sz w:val="16"/>
          <w:szCs w:val="20"/>
          <w:highlight w:val="none"/>
        </w:rPr>
      </w:pPr>
    </w:p>
    <w:p w14:paraId="124FC7C7">
      <w:pPr>
        <w:spacing w:line="324" w:lineRule="auto"/>
        <w:rPr>
          <w:rFonts w:hint="eastAsia" w:ascii="Times New Roman" w:hAnsi="宋体" w:cs="宋体"/>
          <w:color w:val="auto"/>
          <w:sz w:val="16"/>
          <w:szCs w:val="20"/>
          <w:highlight w:val="none"/>
        </w:rPr>
      </w:pPr>
    </w:p>
    <w:p w14:paraId="1356EE08">
      <w:pPr>
        <w:spacing w:line="324" w:lineRule="auto"/>
        <w:rPr>
          <w:rFonts w:hint="eastAsia" w:ascii="Times New Roman" w:hAnsi="Times New Roman"/>
          <w:color w:val="auto"/>
          <w:sz w:val="20"/>
          <w:szCs w:val="20"/>
          <w:highlight w:val="none"/>
        </w:rPr>
      </w:pPr>
    </w:p>
    <w:p w14:paraId="38199FA9">
      <w:pPr>
        <w:spacing w:line="324" w:lineRule="auto"/>
        <w:rPr>
          <w:rFonts w:hint="eastAsia" w:ascii="Times New Roman" w:hAnsi="Times New Roman"/>
          <w:color w:val="auto"/>
          <w:sz w:val="20"/>
          <w:szCs w:val="20"/>
          <w:highlight w:val="none"/>
        </w:rPr>
      </w:pPr>
    </w:p>
    <w:p w14:paraId="22EB3AA0">
      <w:pPr>
        <w:spacing w:line="324" w:lineRule="auto"/>
        <w:rPr>
          <w:rFonts w:hint="eastAsia" w:ascii="Times New Roman" w:hAnsi="宋体" w:cs="宋体"/>
          <w:color w:val="auto"/>
          <w:sz w:val="16"/>
          <w:szCs w:val="20"/>
          <w:highlight w:val="none"/>
        </w:rPr>
      </w:pPr>
    </w:p>
    <w:p w14:paraId="6CA35877">
      <w:pPr>
        <w:spacing w:line="324" w:lineRule="auto"/>
        <w:rPr>
          <w:rFonts w:hint="eastAsia" w:ascii="Times New Roman" w:hAnsi="宋体" w:cs="宋体"/>
          <w:color w:val="auto"/>
          <w:sz w:val="16"/>
          <w:szCs w:val="20"/>
          <w:highlight w:val="none"/>
        </w:rPr>
      </w:pPr>
    </w:p>
    <w:p w14:paraId="76CD87DA">
      <w:pPr>
        <w:spacing w:line="324" w:lineRule="auto"/>
        <w:jc w:val="center"/>
        <w:rPr>
          <w:rFonts w:hint="eastAsia" w:ascii="Times New Roman" w:hAnsi="宋体" w:cs="宋体"/>
          <w:b/>
          <w:color w:val="auto"/>
          <w:sz w:val="24"/>
          <w:highlight w:val="none"/>
        </w:rPr>
      </w:pPr>
    </w:p>
    <w:p w14:paraId="1853E138">
      <w:pPr>
        <w:spacing w:before="156" w:beforeLines="50" w:line="360" w:lineRule="auto"/>
        <w:jc w:val="center"/>
        <w:rPr>
          <w:rFonts w:hint="eastAsia" w:ascii="Times New Roman" w:hAnsi="宋体" w:cs="宋体"/>
          <w:b/>
          <w:bCs/>
          <w:color w:val="auto"/>
          <w:sz w:val="24"/>
          <w:highlight w:val="none"/>
        </w:rPr>
      </w:pPr>
    </w:p>
    <w:p w14:paraId="17E88964">
      <w:pPr>
        <w:widowControl/>
        <w:kinsoku w:val="0"/>
        <w:autoSpaceDE w:val="0"/>
        <w:autoSpaceDN w:val="0"/>
        <w:adjustRightInd w:val="0"/>
        <w:snapToGrid w:val="0"/>
        <w:spacing w:line="360" w:lineRule="auto"/>
        <w:ind w:firstLine="2788" w:firstLineChars="992"/>
        <w:jc w:val="left"/>
        <w:textAlignment w:val="baseline"/>
        <w:rPr>
          <w:rFonts w:hint="eastAsia" w:ascii="宋体" w:hAnsi="宋体" w:cs="宋体"/>
          <w:b/>
          <w:bCs/>
          <w:snapToGrid w:val="0"/>
          <w:color w:val="auto"/>
          <w:kern w:val="0"/>
          <w:sz w:val="28"/>
          <w:szCs w:val="28"/>
          <w:highlight w:val="none"/>
          <w:u w:val="single"/>
        </w:rPr>
      </w:pPr>
      <w:r>
        <w:rPr>
          <w:rFonts w:hint="eastAsia" w:ascii="宋体" w:hAnsi="宋体" w:cs="宋体"/>
          <w:b/>
          <w:bCs/>
          <w:snapToGrid w:val="0"/>
          <w:color w:val="auto"/>
          <w:kern w:val="0"/>
          <w:sz w:val="28"/>
          <w:szCs w:val="28"/>
          <w:highlight w:val="none"/>
        </w:rPr>
        <w:t>采购人：</w:t>
      </w:r>
      <w:r>
        <w:rPr>
          <w:rFonts w:hint="eastAsia" w:ascii="宋体" w:hAnsi="宋体" w:cs="宋体"/>
          <w:b/>
          <w:bCs/>
          <w:snapToGrid w:val="0"/>
          <w:color w:val="auto"/>
          <w:kern w:val="0"/>
          <w:sz w:val="28"/>
          <w:szCs w:val="28"/>
          <w:highlight w:val="none"/>
          <w:u w:val="single"/>
        </w:rPr>
        <w:t>陕西省公路局</w:t>
      </w:r>
    </w:p>
    <w:p w14:paraId="07A6D817">
      <w:pPr>
        <w:widowControl/>
        <w:kinsoku w:val="0"/>
        <w:autoSpaceDE w:val="0"/>
        <w:autoSpaceDN w:val="0"/>
        <w:adjustRightInd w:val="0"/>
        <w:snapToGrid w:val="0"/>
        <w:spacing w:line="360" w:lineRule="auto"/>
        <w:ind w:firstLine="2788" w:firstLineChars="992"/>
        <w:jc w:val="left"/>
        <w:textAlignment w:val="baseline"/>
        <w:rPr>
          <w:rFonts w:ascii="宋体" w:hAnsi="宋体" w:cs="宋体"/>
          <w:b/>
          <w:bCs/>
          <w:snapToGrid w:val="0"/>
          <w:color w:val="auto"/>
          <w:kern w:val="0"/>
          <w:sz w:val="28"/>
          <w:szCs w:val="28"/>
          <w:highlight w:val="none"/>
          <w:u w:val="single"/>
        </w:rPr>
      </w:pPr>
      <w:r>
        <w:rPr>
          <w:rFonts w:hint="eastAsia" w:ascii="宋体" w:hAnsi="宋体" w:cs="宋体"/>
          <w:b/>
          <w:bCs/>
          <w:snapToGrid w:val="0"/>
          <w:color w:val="auto"/>
          <w:kern w:val="0"/>
          <w:sz w:val="28"/>
          <w:szCs w:val="28"/>
          <w:highlight w:val="none"/>
        </w:rPr>
        <w:t>供应商：</w:t>
      </w:r>
      <w:r>
        <w:rPr>
          <w:rFonts w:hint="eastAsia" w:ascii="宋体" w:hAnsi="宋体" w:cs="宋体"/>
          <w:b/>
          <w:bCs/>
          <w:snapToGrid w:val="0"/>
          <w:color w:val="auto"/>
          <w:kern w:val="0"/>
          <w:sz w:val="28"/>
          <w:szCs w:val="28"/>
          <w:highlight w:val="none"/>
          <w:u w:val="single"/>
        </w:rPr>
        <w:t xml:space="preserve">            </w:t>
      </w:r>
    </w:p>
    <w:p w14:paraId="024952E9">
      <w:pPr>
        <w:widowControl/>
        <w:kinsoku w:val="0"/>
        <w:autoSpaceDE w:val="0"/>
        <w:autoSpaceDN w:val="0"/>
        <w:adjustRightInd w:val="0"/>
        <w:snapToGrid w:val="0"/>
        <w:spacing w:line="360" w:lineRule="auto"/>
        <w:jc w:val="center"/>
        <w:textAlignment w:val="baseline"/>
        <w:rPr>
          <w:rFonts w:ascii="仿宋" w:hAnsi="仿宋" w:eastAsia="仿宋" w:cs="仿宋"/>
          <w:b/>
          <w:bCs/>
          <w:color w:val="auto"/>
          <w:sz w:val="36"/>
          <w:szCs w:val="36"/>
          <w:highlight w:val="none"/>
        </w:rPr>
      </w:pPr>
      <w:r>
        <w:rPr>
          <w:rFonts w:hint="eastAsia" w:ascii="宋体" w:hAnsi="宋体" w:cs="宋体"/>
          <w:b/>
          <w:bCs/>
          <w:snapToGrid w:val="0"/>
          <w:color w:val="auto"/>
          <w:kern w:val="0"/>
          <w:sz w:val="28"/>
          <w:szCs w:val="28"/>
          <w:highlight w:val="none"/>
        </w:rPr>
        <w:t>二〇二六年  月</w:t>
      </w:r>
      <w:r>
        <w:rPr>
          <w:rFonts w:hint="eastAsia" w:ascii="Times New Roman" w:hAnsi="宋体" w:cs="宋体"/>
          <w:b/>
          <w:bCs/>
          <w:color w:val="auto"/>
          <w:sz w:val="24"/>
          <w:highlight w:val="none"/>
        </w:rPr>
        <w:br w:type="page"/>
      </w:r>
      <w:r>
        <w:rPr>
          <w:rFonts w:hint="eastAsia" w:ascii="宋体" w:hAnsi="宋体" w:cs="宋体"/>
          <w:b/>
          <w:bCs/>
          <w:color w:val="auto"/>
          <w:sz w:val="36"/>
          <w:szCs w:val="36"/>
          <w:highlight w:val="none"/>
        </w:rPr>
        <w:t>合同协议书</w:t>
      </w:r>
    </w:p>
    <w:p w14:paraId="1890D4F4">
      <w:pPr>
        <w:spacing w:line="360" w:lineRule="auto"/>
        <w:ind w:firstLine="482" w:firstLineChars="200"/>
        <w:rPr>
          <w:rFonts w:hint="eastAsia" w:ascii="宋体" w:hAnsi="宋体" w:cs="宋体"/>
          <w:b/>
          <w:bCs/>
          <w:color w:val="auto"/>
          <w:sz w:val="24"/>
          <w:highlight w:val="none"/>
        </w:rPr>
      </w:pPr>
    </w:p>
    <w:p w14:paraId="283B41DF">
      <w:pPr>
        <w:spacing w:line="520" w:lineRule="exact"/>
        <w:ind w:firstLine="482" w:firstLineChars="200"/>
        <w:rPr>
          <w:rFonts w:hint="eastAsia" w:ascii="宋体" w:hAnsi="宋体" w:cs="宋体"/>
          <w:b/>
          <w:bCs/>
          <w:color w:val="auto"/>
          <w:sz w:val="24"/>
          <w:highlight w:val="none"/>
          <w:u w:val="single"/>
        </w:rPr>
      </w:pPr>
      <w:r>
        <w:rPr>
          <w:rFonts w:hint="eastAsia" w:ascii="宋体" w:hAnsi="宋体" w:cs="宋体"/>
          <w:b/>
          <w:bCs/>
          <w:color w:val="auto"/>
          <w:sz w:val="24"/>
          <w:highlight w:val="none"/>
        </w:rPr>
        <w:t>甲方（采购人）：</w:t>
      </w:r>
      <w:r>
        <w:rPr>
          <w:rFonts w:hint="eastAsia" w:ascii="宋体" w:hAnsi="宋体" w:cs="宋体"/>
          <w:b/>
          <w:bCs/>
          <w:color w:val="auto"/>
          <w:sz w:val="24"/>
          <w:highlight w:val="none"/>
          <w:u w:val="single"/>
        </w:rPr>
        <w:t>陕西省公路局</w:t>
      </w:r>
    </w:p>
    <w:p w14:paraId="0005447F">
      <w:pPr>
        <w:spacing w:line="520" w:lineRule="exact"/>
        <w:ind w:firstLine="482" w:firstLineChars="200"/>
        <w:rPr>
          <w:rFonts w:hint="eastAsia" w:ascii="宋体" w:hAnsi="宋体" w:cs="宋体"/>
          <w:b/>
          <w:bCs/>
          <w:color w:val="auto"/>
          <w:sz w:val="24"/>
          <w:highlight w:val="none"/>
          <w:u w:val="single"/>
        </w:rPr>
      </w:pPr>
      <w:r>
        <w:rPr>
          <w:rFonts w:hint="eastAsia" w:ascii="宋体" w:hAnsi="宋体" w:cs="宋体"/>
          <w:b/>
          <w:bCs/>
          <w:color w:val="auto"/>
          <w:sz w:val="24"/>
          <w:highlight w:val="none"/>
        </w:rPr>
        <w:t>乙方（供应商）：</w:t>
      </w:r>
      <w:r>
        <w:rPr>
          <w:rFonts w:hint="eastAsia" w:ascii="宋体" w:hAnsi="宋体" w:cs="宋体"/>
          <w:b/>
          <w:bCs/>
          <w:color w:val="auto"/>
          <w:sz w:val="24"/>
          <w:highlight w:val="none"/>
          <w:u w:val="single"/>
        </w:rPr>
        <w:t xml:space="preserve">            </w:t>
      </w:r>
    </w:p>
    <w:p w14:paraId="5266BBFC">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根据《中华人民共和国民法典》《中华人民共和国政府采购法》及其他有关法律法规，遵循平等、自愿、公平和诚信的原则， 双方就下述项目范围与相关服务事项协商一致，订立本合同。</w:t>
      </w:r>
    </w:p>
    <w:p w14:paraId="4EFDC27A">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一、项目概况</w:t>
      </w:r>
    </w:p>
    <w:p w14:paraId="60E8CCC4">
      <w:pPr>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（一）项目名称：</w:t>
      </w:r>
      <w:r>
        <w:rPr>
          <w:rFonts w:hint="eastAsia" w:ascii="宋体" w:hAnsi="宋体" w:cs="宋体"/>
          <w:color w:val="auto"/>
          <w:sz w:val="24"/>
          <w:highlight w:val="none"/>
          <w:u w:val="single"/>
          <w:lang w:eastAsia="zh-CN"/>
        </w:rPr>
        <w:t>大件运输许可咨询</w:t>
      </w:r>
    </w:p>
    <w:p w14:paraId="32CDDBFA">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（二）项目地点：</w:t>
      </w:r>
      <w:r>
        <w:rPr>
          <w:rFonts w:hint="eastAsia" w:ascii="宋体" w:hAnsi="宋体" w:cs="宋体"/>
          <w:color w:val="auto"/>
          <w:sz w:val="24"/>
          <w:highlight w:val="none"/>
          <w:u w:val="single"/>
        </w:rPr>
        <w:t>甲方指定地点</w:t>
      </w:r>
    </w:p>
    <w:p w14:paraId="265E4AD5">
      <w:pPr>
        <w:spacing w:line="520" w:lineRule="exact"/>
        <w:ind w:firstLine="480" w:firstLineChars="200"/>
        <w:rPr>
          <w:rFonts w:hint="eastAsia" w:ascii="宋体" w:hAnsi="宋体" w:cs="宋体"/>
          <w:color w:val="auto"/>
          <w:sz w:val="24"/>
          <w:highlight w:val="none"/>
        </w:rPr>
      </w:pPr>
      <w:r>
        <w:rPr>
          <w:rFonts w:hint="eastAsia" w:ascii="宋体" w:hAnsi="宋体" w:eastAsia="宋体" w:cs="宋体"/>
          <w:color w:val="auto"/>
          <w:sz w:val="24"/>
          <w:highlight w:val="none"/>
        </w:rPr>
        <w:t>（三）服务内容：</w:t>
      </w:r>
      <w:r>
        <w:rPr>
          <w:rFonts w:hint="eastAsia" w:ascii="宋体" w:hAnsi="宋体" w:eastAsia="宋体" w:cs="宋体"/>
          <w:color w:val="auto"/>
          <w:sz w:val="24"/>
          <w:highlight w:val="none"/>
          <w:u w:val="single"/>
          <w:lang w:val="en-US" w:eastAsia="zh-CN"/>
        </w:rPr>
        <w:t>2026年</w:t>
      </w:r>
      <w:r>
        <w:rPr>
          <w:rFonts w:hint="eastAsia" w:ascii="宋体" w:hAnsi="宋体" w:eastAsia="宋体" w:cs="宋体"/>
          <w:color w:val="auto"/>
          <w:sz w:val="24"/>
          <w:highlight w:val="none"/>
          <w:u w:val="single"/>
          <w:lang w:eastAsia="zh-CN"/>
        </w:rPr>
        <w:t>大件运输许可咨询，主要内容为协助采购单位完成大件运输许可相关咨询、服务工作，配备3名工作人员常驻陕西省超限超载办证大厅，协助审批人员开展工作，提供大件运输审查相关咨询</w:t>
      </w:r>
      <w:r>
        <w:rPr>
          <w:rFonts w:hint="eastAsia" w:ascii="宋体" w:hAnsi="宋体" w:eastAsia="宋体" w:cs="宋体"/>
          <w:color w:val="auto"/>
          <w:sz w:val="24"/>
          <w:highlight w:val="none"/>
          <w:lang w:eastAsia="zh-CN"/>
        </w:rPr>
        <w:t>。</w:t>
      </w:r>
    </w:p>
    <w:p w14:paraId="35A8AD9F">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二、合同金额</w:t>
      </w:r>
    </w:p>
    <w:p w14:paraId="64F3601B">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合同总价款(含税价):</w:t>
      </w:r>
      <w:r>
        <w:rPr>
          <w:rFonts w:hint="eastAsia" w:ascii="宋体" w:hAnsi="宋体" w:cs="宋体"/>
          <w:color w:val="auto"/>
          <w:sz w:val="24"/>
          <w:highlight w:val="none"/>
          <w:u w:val="single"/>
        </w:rPr>
        <w:t xml:space="preserve">            (¥        </w:t>
      </w:r>
      <w:r>
        <w:rPr>
          <w:rFonts w:hint="eastAsia" w:ascii="宋体" w:hAnsi="宋体" w:cs="宋体"/>
          <w:color w:val="auto"/>
          <w:sz w:val="24"/>
          <w:highlight w:val="none"/>
        </w:rPr>
        <w:t>元)。</w:t>
      </w:r>
    </w:p>
    <w:p w14:paraId="2322E30C">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价格为含税固定总价，包含乙方为完成本项目全部服务内容所需的人工费、社保费、福利费、培训费、管理费、税费、设备使用费、交通费、通讯费、耗材费、资料费、保险费、售后服务费、技术支持费、利润及合同明示或暗示的所有责任、义务和风险。除本合同另有约定外，甲方无需再向乙方支付任何其他费用。合同履行期间，合同价款不因市场价格、政策调整、人员变动等任何因素而调整。</w:t>
      </w:r>
    </w:p>
    <w:p w14:paraId="5E10B505">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三、服务期限</w:t>
      </w:r>
    </w:p>
    <w:p w14:paraId="2FF1CC7F">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合同服务期为合同签订之日起【】</w:t>
      </w:r>
    </w:p>
    <w:p w14:paraId="26705767">
      <w:pPr>
        <w:spacing w:line="52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或合同起止日期</w:t>
      </w:r>
      <w:r>
        <w:rPr>
          <w:rFonts w:hint="eastAsia" w:ascii="宋体" w:hAnsi="宋体" w:cs="宋体"/>
          <w:color w:val="auto"/>
          <w:sz w:val="24"/>
          <w:highlight w:val="none"/>
          <w:u w:val="single"/>
        </w:rPr>
        <w:t>（    年    月    日 ----    年    月    日）。</w:t>
      </w:r>
    </w:p>
    <w:p w14:paraId="252094DA">
      <w:pPr>
        <w:spacing w:line="520" w:lineRule="exact"/>
        <w:ind w:firstLine="480" w:firstLineChars="200"/>
        <w:rPr>
          <w:rFonts w:ascii="宋体" w:hAnsi="宋体" w:cs="宋体"/>
          <w:color w:val="auto"/>
          <w:sz w:val="24"/>
          <w:highlight w:val="none"/>
        </w:rPr>
      </w:pPr>
      <w:r>
        <w:rPr>
          <w:rFonts w:ascii="宋体" w:hAnsi="宋体" w:cs="宋体"/>
          <w:color w:val="auto"/>
          <w:sz w:val="24"/>
          <w:highlight w:val="none"/>
        </w:rPr>
        <w:t>服务期内，如因甲方工作需要、政策调整或不可抗力导致服务延期的，服务期限相应顺延，顺延期间乙方仍按本合同约定提供服务，不再另行增加费用。</w:t>
      </w:r>
    </w:p>
    <w:p w14:paraId="25ED63DA">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四、结算方式</w:t>
      </w:r>
    </w:p>
    <w:p w14:paraId="5DFED4E3">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（一）结算单位:</w:t>
      </w:r>
    </w:p>
    <w:p w14:paraId="50FBD691">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由甲方负责结算。费用采用银行转账方式，分期付款。</w:t>
      </w:r>
    </w:p>
    <w:p w14:paraId="7459A33D">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乙方应在甲方每次付款前，按照甲方要求的发票类型和金额，向甲方开具合法有效的发票，税费由乙方承担。否则，甲方有权拒绝付款且不承担迟延支付的违约责任。</w:t>
      </w:r>
    </w:p>
    <w:p w14:paraId="69DCFC86">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（二）付款方式:</w:t>
      </w:r>
    </w:p>
    <w:p w14:paraId="3EE1163B">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合同签订且供应商提交合格履约保证金（电子保函）及符合要求的发票后，达到付款条件之日起15日内，支付合同总金额的60%。</w:t>
      </w:r>
    </w:p>
    <w:p w14:paraId="48D2F8F8">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2026年12月20日前，供应商完成阶段性服务并经采购人确认合格，且收到供应商开具的合规发票后，达到付款条件之日起15日内，支付合同总金额的40%。</w:t>
      </w:r>
    </w:p>
    <w:p w14:paraId="3CCC5B88">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五、主要工作内容</w:t>
      </w:r>
    </w:p>
    <w:p w14:paraId="1DD3C33C">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大件运输许可咨询，主要内容为协助采购单位完成大件运输许可相关咨询、服务工作，</w:t>
      </w:r>
      <w:r>
        <w:rPr>
          <w:rFonts w:hint="default" w:ascii="宋体" w:hAnsi="宋体" w:eastAsia="宋体" w:cs="宋体"/>
          <w:color w:val="auto"/>
          <w:sz w:val="24"/>
          <w:szCs w:val="24"/>
          <w:highlight w:val="none"/>
          <w:lang w:eastAsia="zh-CN"/>
        </w:rPr>
        <w:t>配备3名工作人员</w:t>
      </w:r>
      <w:r>
        <w:rPr>
          <w:rFonts w:hint="eastAsia" w:ascii="宋体" w:hAnsi="宋体" w:eastAsia="宋体" w:cs="宋体"/>
          <w:color w:val="auto"/>
          <w:sz w:val="24"/>
          <w:szCs w:val="24"/>
          <w:highlight w:val="none"/>
          <w:lang w:eastAsia="zh-CN"/>
        </w:rPr>
        <w:t>（配备人员具有一定的桥梁检测工作经验，具有公路桥梁或相似专业本科以上学历，年龄在35岁以下）</w:t>
      </w:r>
      <w:r>
        <w:rPr>
          <w:rFonts w:hint="default" w:ascii="宋体" w:hAnsi="宋体" w:eastAsia="宋体" w:cs="宋体"/>
          <w:color w:val="auto"/>
          <w:sz w:val="24"/>
          <w:szCs w:val="24"/>
          <w:highlight w:val="none"/>
          <w:lang w:eastAsia="zh-CN"/>
        </w:rPr>
        <w:t>常驻陕西省超限超载办证大厅</w:t>
      </w:r>
      <w:r>
        <w:rPr>
          <w:rFonts w:hint="eastAsia" w:ascii="宋体" w:hAnsi="宋体" w:eastAsia="宋体" w:cs="宋体"/>
          <w:color w:val="auto"/>
          <w:sz w:val="24"/>
          <w:szCs w:val="24"/>
          <w:highlight w:val="none"/>
          <w:lang w:eastAsia="zh-CN"/>
        </w:rPr>
        <w:t>，协助审批人员开展工作，提供大件运输审查相关咨询，包括不限于以下内容：</w:t>
      </w:r>
    </w:p>
    <w:p w14:paraId="3C8FF724">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（一）超限超载办证大厅节假日轮岗值班。要求完成大件运输许可业务咨询电话接听工作，做好电话记录，紧急事件第一时间通知审批员进行处理；</w:t>
      </w:r>
    </w:p>
    <w:p w14:paraId="4EE5F6F9">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（二）交警联合审批辅助工作。要求完成工作邮箱里交警联合审批单的收集、回传工作，实现当天所有联合审批单按地市全部整理分类完毕。</w:t>
      </w:r>
    </w:p>
    <w:p w14:paraId="435D7EAC">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（三）大件运输许可业务咨询电话接听。完成咨询电话接听工作，熟悉大件运输许可相关法律法规，做好政策解读，完成大件运输许可办理流程查询工作。</w:t>
      </w:r>
    </w:p>
    <w:p w14:paraId="781B12D3">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（四）大件运输许可申请通行路线路况核实工作。根据承运人申请路线，进行路况核实，并根据交控集团、各市公路管理局报送路况信息完成全省大件运输通行路况整理汇总工作。</w:t>
      </w:r>
    </w:p>
    <w:p w14:paraId="200E2D0E">
      <w:pPr>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（五）依据技术规范、桥梁技术状况，给出49-100 吨大件运输车辆通行普通桥梁的安全性咨询意见。</w:t>
      </w:r>
    </w:p>
    <w:p w14:paraId="6F7B8D32">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六、其他要求</w:t>
      </w:r>
    </w:p>
    <w:p w14:paraId="5790D98A">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（一）符合交通运输部、陕西省交通运输主管部门现行法律、法规、规章及规范性文件要求，满足竞争性磋商文件及采购方需求。</w:t>
      </w:r>
    </w:p>
    <w:p w14:paraId="768D2690">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（二）其他要求</w:t>
      </w:r>
    </w:p>
    <w:p w14:paraId="1B8DB6F9">
      <w:pPr>
        <w:widowControl/>
        <w:spacing w:line="520" w:lineRule="exact"/>
        <w:ind w:firstLine="480" w:firstLine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1.服务成果合法、真实、准确、完整，符合国家及行业现行规范、标准及本项目竞争性磋商文件要求。</w:t>
      </w:r>
    </w:p>
    <w:p w14:paraId="5F530065">
      <w:pPr>
        <w:widowControl/>
        <w:spacing w:line="520" w:lineRule="exact"/>
        <w:ind w:left="420" w:leftChars="200"/>
        <w:jc w:val="left"/>
        <w:rPr>
          <w:rFonts w:hint="eastAsia" w:ascii="宋体" w:hAnsi="宋体" w:cs="宋体"/>
          <w:color w:val="auto"/>
          <w:sz w:val="24"/>
          <w:highlight w:val="none"/>
          <w:lang w:bidi="ar"/>
        </w:rPr>
      </w:pPr>
      <w:r>
        <w:rPr>
          <w:rFonts w:hint="eastAsia" w:ascii="宋体" w:hAnsi="宋体" w:cs="宋体"/>
          <w:color w:val="auto"/>
          <w:sz w:val="24"/>
          <w:highlight w:val="none"/>
          <w:lang w:bidi="ar"/>
        </w:rPr>
        <w:t>2.咨询电话响应及时、文明规范，台账记录清晰可查，资料整理规范有序。</w:t>
      </w:r>
    </w:p>
    <w:p w14:paraId="4B983E59">
      <w:pPr>
        <w:widowControl/>
        <w:spacing w:line="520" w:lineRule="exact"/>
        <w:ind w:left="420" w:leftChars="200"/>
        <w:jc w:val="left"/>
        <w:rPr>
          <w:rFonts w:hint="eastAsia" w:ascii="宋体" w:hAnsi="宋体" w:cs="宋体"/>
          <w:color w:val="auto"/>
          <w:sz w:val="24"/>
          <w:highlight w:val="none"/>
        </w:rPr>
      </w:pPr>
      <w:r>
        <w:rPr>
          <w:rFonts w:hint="eastAsia" w:ascii="宋体" w:hAnsi="宋体" w:cs="宋体"/>
          <w:color w:val="auto"/>
          <w:sz w:val="24"/>
          <w:highlight w:val="none"/>
          <w:lang w:bidi="ar"/>
        </w:rPr>
        <w:t>3.路况核实、桥梁安全性咨询等关键成果不得出现重大错误、遗漏或误导性结论。</w:t>
      </w:r>
    </w:p>
    <w:p w14:paraId="01416DA0">
      <w:pPr>
        <w:widowControl/>
        <w:spacing w:line="520" w:lineRule="exact"/>
        <w:ind w:left="420" w:leftChars="200"/>
        <w:jc w:val="left"/>
        <w:rPr>
          <w:rFonts w:hint="eastAsia" w:ascii="宋体" w:hAnsi="宋体" w:cs="宋体"/>
          <w:color w:val="auto"/>
          <w:sz w:val="24"/>
          <w:highlight w:val="none"/>
        </w:rPr>
      </w:pPr>
      <w:r>
        <w:rPr>
          <w:rFonts w:hint="eastAsia" w:ascii="宋体" w:hAnsi="宋体" w:cs="宋体"/>
          <w:color w:val="auto"/>
          <w:sz w:val="24"/>
          <w:highlight w:val="none"/>
          <w:lang w:bidi="ar"/>
        </w:rPr>
        <w:t>4.提交的咨询意见、报告等成果须通过甲方或其指定单位的技术审查。</w:t>
      </w:r>
    </w:p>
    <w:p w14:paraId="0B1A886A">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（三）派驻人员劳动用工管理</w:t>
      </w:r>
    </w:p>
    <w:p w14:paraId="6BCC94FE">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1.乙方应严格按照《中华人民共和国劳动合同法》《中华人民共和国社会保险法》等法律法规，与本项目所有派驻甲方的工作人员（含常驻办证大厅人员及临时参与服务人员）签订书面劳动合同。 </w:t>
      </w:r>
    </w:p>
    <w:p w14:paraId="40D661C1">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2.乙方应按时足额支付派驻人员工资（不得低于西安市同期最低工资标准）、加班费及法定福利待遇，依法为其缴纳基本养老、医疗、失业、工伤、生育保险及住房公积金，并承担全部用人单位责任。 </w:t>
      </w:r>
    </w:p>
    <w:p w14:paraId="488BC56F">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3.乙方派驻人员因工资、社保、工伤、意外事故、经济补偿、赔偿等产生的任何劳动/劳务纠纷，均由乙方自行处理并承担全部法律和经济责任。若因上述纠纷导致甲方被起诉、仲裁、行政处罚或遭受名誉损失、经济损失的，乙方应在甲方收到通知之日起3个工作日内消除影响，并全额赔偿甲方全部损失（包括但不限于赔偿金、罚款、诉讼费、律师费、差旅费、名誉损失费等）。</w:t>
      </w:r>
    </w:p>
    <w:p w14:paraId="2A9E0A06">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4.若乙方发生上述劳动纠纷且未及时妥善处理，影响甲方正常办公秩序或造成不良社会影响的，甲方有权单方解除本合同，乙方已缴纳的履约保证金不予退还，同时乙方应向甲方支付合同总金额5%的违约金。 </w:t>
      </w:r>
    </w:p>
    <w:p w14:paraId="35BDD7EC">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（四）驻场服务人员更换管理 </w:t>
      </w:r>
    </w:p>
    <w:p w14:paraId="17083015">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1.乙方应保证派驻人员的稳定性，合同期内原则上不得更换驻场服务人员。确因特殊情况需要更换的，乙方应提前7个工作日向甲方提交书面更换申请，说明更换理由及拟更换人员的身份证、学历证书、工作经验证明、职称证书等资料，经甲方审核同意后方可更换。 </w:t>
      </w:r>
    </w:p>
    <w:p w14:paraId="2F52E16F">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2.更换后的人员资质、专业能力、服务水平不得低于原派驻人员标准，且必须符合磋商会议递交的响应文件中相应人员配置要求。 </w:t>
      </w:r>
    </w:p>
    <w:p w14:paraId="10327A74">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3.乙方应安排拟更换人员与原派驻人员进行不少于3个工作日的工作交接，交接记录需经甲方现场负责人签字确认后方可完成人员更换，交接期间服务中断的责任由乙方承担。 </w:t>
      </w:r>
    </w:p>
    <w:p w14:paraId="370DB745">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4.甲方有权对乙方派驻人员的服务质量、业务能力、工作态度进行月度考核，若出现下列情形之一的，甲方有权书面要求乙方在3个工作日内更换人员： </w:t>
      </w:r>
    </w:p>
    <w:p w14:paraId="46198BF2">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（1）连续2次考核不合格的； </w:t>
      </w:r>
    </w:p>
    <w:p w14:paraId="1945C9B4">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（2）被服务对象有效投诉2次及以上的； </w:t>
      </w:r>
    </w:p>
    <w:p w14:paraId="57ECF6DF">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（3）违反甲方规章制度，扰乱办公秩序的； </w:t>
      </w:r>
    </w:p>
    <w:p w14:paraId="336089CE">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（4）业务不熟练，无法胜任本职工作的； </w:t>
      </w:r>
    </w:p>
    <w:p w14:paraId="179A584F">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（5）存在违法违纪行为的。 </w:t>
      </w:r>
    </w:p>
    <w:p w14:paraId="4110CD96">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 xml:space="preserve">5.乙方应在甲方要求的期限内完成人员更换，逾期未更换的，每逾期1日扣除履约保证金的0.5%；逾期超过14日的，甲方有权单方解除本合同，乙方已缴纳的履约保证金不予退还。 </w:t>
      </w:r>
    </w:p>
    <w:p w14:paraId="2F72EE87">
      <w:pPr>
        <w:widowControl/>
        <w:spacing w:line="520" w:lineRule="exact"/>
        <w:ind w:firstLine="480" w:firstLineChars="200"/>
        <w:jc w:val="left"/>
        <w:rPr>
          <w:rFonts w:hint="eastAsia" w:ascii="宋体" w:hAnsi="宋体" w:eastAsia="宋体" w:cs="宋体"/>
          <w:color w:val="auto"/>
          <w:sz w:val="24"/>
          <w:highlight w:val="none"/>
          <w:lang w:bidi="ar"/>
        </w:rPr>
      </w:pPr>
      <w:r>
        <w:rPr>
          <w:rFonts w:hint="eastAsia" w:ascii="宋体" w:hAnsi="宋体" w:eastAsia="宋体" w:cs="宋体"/>
          <w:color w:val="auto"/>
          <w:sz w:val="24"/>
          <w:highlight w:val="none"/>
          <w:lang w:bidi="ar"/>
        </w:rPr>
        <w:t>6.未经甲方书面同意擅自更换驻场人员的，每发生1次扣5000元；擅自更换超过2次的，甲方有权单方解除本合同，乙方已缴纳的履约保证金不予退还。</w:t>
      </w:r>
    </w:p>
    <w:p w14:paraId="3E8FEE32">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七、售后服务</w:t>
      </w:r>
    </w:p>
    <w:p w14:paraId="0E5E6FED">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（一）技术支持和售后服务由乙方严格按响应文件及有关承诺执行，提供7*24小时电话咨询服务，出现问题时，</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小时内电话响应，</w:t>
      </w:r>
      <w:r>
        <w:rPr>
          <w:rFonts w:hint="eastAsia" w:ascii="宋体" w:hAnsi="宋体" w:cs="宋体"/>
          <w:color w:val="auto"/>
          <w:sz w:val="24"/>
          <w:highlight w:val="none"/>
          <w:u w:val="single"/>
        </w:rPr>
        <w:t xml:space="preserve"> 1 </w:t>
      </w:r>
      <w:r>
        <w:rPr>
          <w:rFonts w:hint="eastAsia" w:ascii="宋体" w:hAnsi="宋体" w:cs="宋体"/>
          <w:color w:val="auto"/>
          <w:sz w:val="24"/>
          <w:highlight w:val="none"/>
        </w:rPr>
        <w:t>小时内电话解决问题，如有需要</w:t>
      </w:r>
      <w:r>
        <w:rPr>
          <w:rFonts w:hint="eastAsia" w:ascii="宋体" w:hAnsi="宋体" w:cs="宋体"/>
          <w:color w:val="auto"/>
          <w:sz w:val="24"/>
          <w:highlight w:val="none"/>
          <w:u w:val="single"/>
        </w:rPr>
        <w:t xml:space="preserve"> 1 </w:t>
      </w:r>
      <w:r>
        <w:rPr>
          <w:rFonts w:hint="eastAsia" w:ascii="宋体" w:hAnsi="宋体" w:cs="宋体"/>
          <w:color w:val="auto"/>
          <w:sz w:val="24"/>
          <w:highlight w:val="none"/>
        </w:rPr>
        <w:t>小时内到达故障现场解决问题。</w:t>
      </w:r>
    </w:p>
    <w:p w14:paraId="4A2C3639">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（二）售后服务联系方式: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CA960D6">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（三）如因乙方自身原因或不能履行售后服务义务,甲方有权委托第三方处理，由此产生的费用和风险由乙方承担。</w:t>
      </w:r>
    </w:p>
    <w:p w14:paraId="0F97B09B">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八、验收</w:t>
      </w:r>
    </w:p>
    <w:p w14:paraId="67BC3864">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（一）乙方完成合同约定的全部内容后，应向甲方提交书面的服务成果报告及验收申请。同时向甲方提交项目实施过程中的所有资料,以便甲方日后管理和维护该项目。</w:t>
      </w:r>
    </w:p>
    <w:p w14:paraId="351D024E">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（二）甲方收到乙方的验收申请后，组织乙方（必要时请有关专家）进行项目验收。乙方提交合同履约情况总结报告，并经甲方确认。验收合格后，填写项目验收单作为对项目的最终认可。</w:t>
      </w:r>
    </w:p>
    <w:p w14:paraId="10C19E87">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（三）验收依据：①本合同及附件文本；②本项目竞争性磋商文件、响应文件及相关文本；</w:t>
      </w:r>
    </w:p>
    <w:p w14:paraId="235B2FE0">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071212D4">
      <w:pPr>
        <w:tabs>
          <w:tab w:val="left" w:pos="980"/>
        </w:tabs>
        <w:kinsoku w:val="0"/>
        <w:spacing w:line="520" w:lineRule="exact"/>
        <w:rPr>
          <w:rFonts w:hint="eastAsia" w:ascii="宋体" w:hAnsi="宋体" w:cs="宋体"/>
          <w:b/>
          <w:bCs/>
          <w:color w:val="auto"/>
          <w:sz w:val="24"/>
          <w:highlight w:val="none"/>
        </w:rPr>
      </w:pPr>
      <w:r>
        <w:rPr>
          <w:rFonts w:hint="eastAsia" w:ascii="宋体" w:hAnsi="宋体" w:cs="宋体"/>
          <w:color w:val="auto"/>
          <w:kern w:val="0"/>
          <w:sz w:val="24"/>
          <w:highlight w:val="none"/>
          <w:lang w:bidi="ar"/>
        </w:rPr>
        <w:t xml:space="preserve">    </w:t>
      </w:r>
      <w:r>
        <w:rPr>
          <w:rFonts w:hint="eastAsia" w:ascii="宋体" w:hAnsi="宋体" w:cs="宋体"/>
          <w:b/>
          <w:bCs/>
          <w:color w:val="auto"/>
          <w:sz w:val="24"/>
          <w:highlight w:val="none"/>
        </w:rPr>
        <w:t>九、保密</w:t>
      </w:r>
    </w:p>
    <w:p w14:paraId="317C6D86">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（一）乙方对在服务过程中知悉的甲方工作信息、数据资料、业务流程、承运人信息及其他未公开信息承担严格保密义务，不得以任何方式泄露、传播、出售或用于本合同以外目的。</w:t>
      </w:r>
    </w:p>
    <w:p w14:paraId="6B01653F">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（二）保密义务在本合同解除、终止后继续有效，直至相关信息依法公开或不再具有保密价值。</w:t>
      </w:r>
    </w:p>
    <w:p w14:paraId="3088A885">
      <w:pPr>
        <w:spacing w:line="52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 xml:space="preserve">（三）乙方违反保密义务的，向甲方支付合同总金额 5% 的违约金，造成损失的另行全额赔偿，并承担相应法律责任。   </w:t>
      </w:r>
      <w:r>
        <w:rPr>
          <w:rFonts w:hint="eastAsia" w:ascii="宋体" w:hAnsi="宋体" w:cs="宋体"/>
          <w:b/>
          <w:bCs/>
          <w:color w:val="auto"/>
          <w:sz w:val="24"/>
          <w:highlight w:val="none"/>
        </w:rPr>
        <w:t xml:space="preserve"> </w:t>
      </w:r>
    </w:p>
    <w:p w14:paraId="57D424D8">
      <w:pPr>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十、知识产权</w:t>
      </w:r>
    </w:p>
    <w:p w14:paraId="627D4A7D">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（一）乙方为履行本合同产生的全部服务成果，包括但不限于咨询意见、报告、方案、台账、数据、文档等，知识产权及相关权益均归甲方所有。</w:t>
      </w:r>
    </w:p>
    <w:p w14:paraId="6A4F947D">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（二）乙方保证所提供的服务及成果不侵犯任何第三方专利权、商标权、著作权及其他合法权益。如引发纠纷，由乙方全权处理并承担全部责任；甲方有权解除合同，乙方退还已收款项，并按合同总金额 5% 支付违约金，造成损失的另行赔偿。</w:t>
      </w:r>
    </w:p>
    <w:p w14:paraId="003213B6">
      <w:pPr>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（三）未经甲方书面同意，乙方不得将服务成果向任何第三方提供、许可使用或对外发表。     </w:t>
      </w:r>
    </w:p>
    <w:p w14:paraId="36F0A684">
      <w:pPr>
        <w:spacing w:line="520" w:lineRule="exact"/>
        <w:ind w:firstLine="482" w:firstLineChars="200"/>
        <w:rPr>
          <w:rFonts w:hint="eastAsia" w:ascii="宋体" w:hAnsi="宋体" w:cs="宋体"/>
          <w:color w:val="auto"/>
          <w:sz w:val="24"/>
          <w:highlight w:val="none"/>
        </w:rPr>
      </w:pPr>
      <w:r>
        <w:rPr>
          <w:rFonts w:hint="eastAsia" w:ascii="宋体" w:hAnsi="宋体" w:cs="宋体"/>
          <w:b/>
          <w:bCs/>
          <w:color w:val="auto"/>
          <w:sz w:val="24"/>
          <w:highlight w:val="none"/>
        </w:rPr>
        <w:t>十一、违约责任</w:t>
      </w:r>
    </w:p>
    <w:p w14:paraId="5FC1F40C">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（一）甲乙双方必须遵守本合同并执行合同中的各项规定，保证本合同的正常履行。</w:t>
      </w:r>
    </w:p>
    <w:p w14:paraId="26D5B16A">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75A4AEB">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834D479">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（四）乙方逾期完成服务的，每逾期一日，向甲方承担合同总金额</w:t>
      </w:r>
      <w:r>
        <w:rPr>
          <w:rFonts w:hint="eastAsia" w:ascii="宋体" w:hAnsi="宋体" w:cs="宋体"/>
          <w:color w:val="auto"/>
          <w:sz w:val="24"/>
          <w:highlight w:val="none"/>
          <w:u w:val="single"/>
        </w:rPr>
        <w:t xml:space="preserve"> 0.1 </w:t>
      </w:r>
      <w:r>
        <w:rPr>
          <w:rFonts w:hint="eastAsia" w:ascii="宋体" w:hAnsi="宋体" w:cs="宋体"/>
          <w:color w:val="auto"/>
          <w:sz w:val="24"/>
          <w:highlight w:val="none"/>
        </w:rPr>
        <w:t>%的违约金，逾期</w:t>
      </w:r>
      <w:r>
        <w:rPr>
          <w:rFonts w:hint="eastAsia" w:ascii="宋体" w:hAnsi="宋体" w:cs="宋体"/>
          <w:color w:val="auto"/>
          <w:sz w:val="24"/>
          <w:highlight w:val="none"/>
          <w:u w:val="single"/>
        </w:rPr>
        <w:t xml:space="preserve"> 30 </w:t>
      </w:r>
      <w:r>
        <w:rPr>
          <w:rFonts w:hint="eastAsia" w:ascii="宋体" w:hAnsi="宋体" w:cs="宋体"/>
          <w:color w:val="auto"/>
          <w:sz w:val="24"/>
          <w:highlight w:val="none"/>
        </w:rPr>
        <w:t>日的，甲方有权单方解除本合同且保留追究乙方违约责任的权利，给甲方造成损失的，乙方还应予以赔偿。</w:t>
      </w:r>
    </w:p>
    <w:p w14:paraId="6D004A63">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cs="宋体"/>
          <w:color w:val="auto"/>
          <w:sz w:val="24"/>
          <w:highlight w:val="none"/>
          <w:u w:val="single"/>
        </w:rPr>
        <w:t xml:space="preserve"> 5 </w:t>
      </w:r>
      <w:r>
        <w:rPr>
          <w:rFonts w:hint="eastAsia" w:ascii="宋体" w:hAnsi="宋体" w:cs="宋体"/>
          <w:color w:val="auto"/>
          <w:sz w:val="24"/>
          <w:highlight w:val="none"/>
        </w:rPr>
        <w:t>%的违约金。</w:t>
      </w:r>
    </w:p>
    <w:p w14:paraId="55A922CC">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cs="宋体"/>
          <w:color w:val="auto"/>
          <w:sz w:val="24"/>
          <w:highlight w:val="none"/>
          <w:u w:val="single"/>
        </w:rPr>
        <w:t xml:space="preserve"> 5 </w:t>
      </w:r>
      <w:r>
        <w:rPr>
          <w:rFonts w:hint="eastAsia" w:ascii="宋体" w:hAnsi="宋体" w:cs="宋体"/>
          <w:color w:val="auto"/>
          <w:sz w:val="24"/>
          <w:highlight w:val="none"/>
        </w:rPr>
        <w:t>%的违约金。</w:t>
      </w:r>
    </w:p>
    <w:p w14:paraId="22FF7C67">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AAFB2BF">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（八）乙方未按合同约定或甲方要求提供服务的，每出现一次应承担合同总价款【5】%的违约金，出现【2】次的，甲方有权单方解除本合同，给甲方造成损失的，乙方还应予以赔偿。</w:t>
      </w:r>
    </w:p>
    <w:p w14:paraId="219A7C0A">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2E114858">
      <w:pPr>
        <w:tabs>
          <w:tab w:val="left" w:pos="980"/>
        </w:tabs>
        <w:kinsoku w:val="0"/>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十二、合同争议的解决</w:t>
      </w:r>
    </w:p>
    <w:p w14:paraId="0DE661DE">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在执行本合同中发生的或与本合同有关的争端，双方应通过友好协商解决，经协商无法解决的，应向甲方所在地有管辖权的人民法院提请诉讼。</w:t>
      </w:r>
    </w:p>
    <w:p w14:paraId="2314BE58">
      <w:pPr>
        <w:tabs>
          <w:tab w:val="left" w:pos="980"/>
        </w:tabs>
        <w:kinsoku w:val="0"/>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十三、不可抗力情况下的免责约定</w:t>
      </w:r>
    </w:p>
    <w:p w14:paraId="69FD7F23">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双方约定不可抗力情况指：双方不可预见、不可避免、不可克服的客观情况，但不包括双方的违约或疏忽。这些事件包括但不限于：战争、严重火灾、洪水、台风、地震等。</w:t>
      </w:r>
    </w:p>
    <w:p w14:paraId="1464C2C9">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（一）在合同有效期内，任何一方因不可抗力事件导致不能履行合同，则合同履行期可延长，其延长期与不可抗力影响期相同。</w:t>
      </w:r>
    </w:p>
    <w:p w14:paraId="76FB0FF9">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（二）不可抗力事件发生后，应立即通知对方，并寄送有关权威机构出具的证明。</w:t>
      </w:r>
    </w:p>
    <w:p w14:paraId="5BC84ADB">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（三）不可抗力事件延续60天以上，双方应通过友好协商，确定是否继续履行合同。</w:t>
      </w:r>
    </w:p>
    <w:p w14:paraId="1CD37800">
      <w:pPr>
        <w:tabs>
          <w:tab w:val="left" w:pos="980"/>
        </w:tabs>
        <w:kinsoku w:val="0"/>
        <w:spacing w:line="5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十四、合同订立</w:t>
      </w:r>
    </w:p>
    <w:p w14:paraId="568BDED0">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（一）本合同未尽事宜由双方协商解决，双方协商达成一致，可以对本合同进行修订或补充，任何对本合同的修订或者补充，应采用书面形式，签订补充协议，具有同等法律效力。</w:t>
      </w:r>
    </w:p>
    <w:p w14:paraId="45F64529">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（二）本合同签订后,双方依法签订的补充协议也是本合同文件的组成部分，当上述文件如有不明确或不一致之处，以合同约定次序在先者为准。</w:t>
      </w:r>
    </w:p>
    <w:p w14:paraId="536CF326">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（三）本合同自双方的法定代表人（负责人）或授权代表签字并加盖单位公章之日起生效。</w:t>
      </w:r>
    </w:p>
    <w:p w14:paraId="4C637E74">
      <w:pPr>
        <w:tabs>
          <w:tab w:val="left" w:pos="980"/>
        </w:tabs>
        <w:kinsoku w:val="0"/>
        <w:spacing w:line="5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（四）本合同一式</w:t>
      </w:r>
      <w:r>
        <w:rPr>
          <w:rFonts w:hint="eastAsia" w:ascii="宋体" w:hAnsi="宋体" w:cs="宋体"/>
          <w:color w:val="auto"/>
          <w:sz w:val="24"/>
          <w:highlight w:val="none"/>
          <w:u w:val="single"/>
        </w:rPr>
        <w:t xml:space="preserve"> 捌 </w:t>
      </w:r>
      <w:r>
        <w:rPr>
          <w:rFonts w:hint="eastAsia" w:ascii="宋体" w:hAnsi="宋体" w:cs="宋体"/>
          <w:color w:val="auto"/>
          <w:sz w:val="24"/>
          <w:highlight w:val="none"/>
        </w:rPr>
        <w:t>份，其中，甲方执</w:t>
      </w:r>
      <w:r>
        <w:rPr>
          <w:rFonts w:hint="eastAsia" w:ascii="宋体" w:hAnsi="宋体" w:cs="宋体"/>
          <w:color w:val="auto"/>
          <w:sz w:val="24"/>
          <w:highlight w:val="none"/>
          <w:u w:val="single"/>
        </w:rPr>
        <w:t xml:space="preserve"> 肆 </w:t>
      </w:r>
      <w:r>
        <w:rPr>
          <w:rFonts w:hint="eastAsia" w:ascii="宋体" w:hAnsi="宋体" w:cs="宋体"/>
          <w:color w:val="auto"/>
          <w:sz w:val="24"/>
          <w:highlight w:val="none"/>
        </w:rPr>
        <w:t>份，乙方执</w:t>
      </w:r>
      <w:r>
        <w:rPr>
          <w:rFonts w:hint="eastAsia" w:ascii="宋体" w:hAnsi="宋体" w:cs="宋体"/>
          <w:color w:val="auto"/>
          <w:sz w:val="24"/>
          <w:highlight w:val="none"/>
          <w:u w:val="single"/>
        </w:rPr>
        <w:t xml:space="preserve"> 肆 </w:t>
      </w:r>
      <w:r>
        <w:rPr>
          <w:rFonts w:hint="eastAsia" w:ascii="宋体" w:hAnsi="宋体" w:cs="宋体"/>
          <w:color w:val="auto"/>
          <w:sz w:val="24"/>
          <w:highlight w:val="none"/>
        </w:rPr>
        <w:t>份，具有同等法律效力。</w:t>
      </w:r>
    </w:p>
    <w:p w14:paraId="26FB14AE">
      <w:pPr>
        <w:tabs>
          <w:tab w:val="left" w:pos="980"/>
        </w:tabs>
        <w:kinsoku w:val="0"/>
        <w:spacing w:line="360" w:lineRule="auto"/>
        <w:ind w:firstLine="480" w:firstLineChars="200"/>
        <w:rPr>
          <w:rFonts w:hint="eastAsia" w:ascii="宋体" w:hAnsi="宋体" w:cs="宋体"/>
          <w:color w:val="auto"/>
          <w:sz w:val="24"/>
          <w:highlight w:val="none"/>
        </w:rPr>
      </w:pPr>
    </w:p>
    <w:p w14:paraId="6EA59CF7">
      <w:pPr>
        <w:tabs>
          <w:tab w:val="left" w:pos="980"/>
        </w:tabs>
        <w:kinsoku w:val="0"/>
        <w:spacing w:line="360" w:lineRule="auto"/>
        <w:ind w:firstLine="480" w:firstLineChars="200"/>
        <w:rPr>
          <w:rFonts w:hint="eastAsia" w:ascii="宋体" w:hAnsi="宋体" w:cs="宋体"/>
          <w:color w:val="auto"/>
          <w:sz w:val="24"/>
          <w:highlight w:val="none"/>
        </w:rPr>
      </w:pPr>
    </w:p>
    <w:p w14:paraId="7291EFC2">
      <w:pPr>
        <w:tabs>
          <w:tab w:val="left" w:pos="980"/>
        </w:tabs>
        <w:kinsoku w:val="0"/>
        <w:spacing w:line="360" w:lineRule="auto"/>
        <w:ind w:firstLine="480" w:firstLineChars="200"/>
        <w:rPr>
          <w:rFonts w:hint="eastAsia" w:ascii="宋体" w:hAnsi="宋体" w:cs="宋体"/>
          <w:color w:val="auto"/>
          <w:sz w:val="24"/>
          <w:highlight w:val="none"/>
        </w:rPr>
      </w:pPr>
    </w:p>
    <w:p w14:paraId="4FD2FE99">
      <w:pPr>
        <w:tabs>
          <w:tab w:val="left" w:pos="980"/>
        </w:tabs>
        <w:kinsoku w:val="0"/>
        <w:spacing w:line="360" w:lineRule="auto"/>
        <w:ind w:firstLine="480" w:firstLineChars="200"/>
        <w:rPr>
          <w:rFonts w:hint="eastAsia" w:ascii="宋体" w:hAnsi="宋体" w:cs="宋体"/>
          <w:color w:val="auto"/>
          <w:sz w:val="24"/>
          <w:highlight w:val="none"/>
        </w:rPr>
      </w:pPr>
    </w:p>
    <w:p w14:paraId="0DB051CB">
      <w:pPr>
        <w:tabs>
          <w:tab w:val="left" w:pos="980"/>
        </w:tabs>
        <w:kinsoku w:val="0"/>
        <w:spacing w:line="360" w:lineRule="auto"/>
        <w:ind w:firstLine="480" w:firstLineChars="200"/>
        <w:rPr>
          <w:rFonts w:hint="eastAsia" w:ascii="宋体" w:hAnsi="宋体" w:cs="宋体"/>
          <w:color w:val="auto"/>
          <w:sz w:val="24"/>
          <w:highlight w:val="none"/>
        </w:rPr>
      </w:pPr>
    </w:p>
    <w:p w14:paraId="5AF1D56F">
      <w:pPr>
        <w:tabs>
          <w:tab w:val="left" w:pos="980"/>
        </w:tabs>
        <w:kinsoku w:val="0"/>
        <w:spacing w:line="360" w:lineRule="auto"/>
        <w:ind w:firstLine="480" w:firstLineChars="200"/>
        <w:rPr>
          <w:rFonts w:hint="eastAsia" w:ascii="宋体" w:hAnsi="宋体" w:cs="宋体"/>
          <w:color w:val="auto"/>
          <w:sz w:val="24"/>
          <w:highlight w:val="none"/>
        </w:rPr>
      </w:pPr>
    </w:p>
    <w:p w14:paraId="326D5746">
      <w:pPr>
        <w:tabs>
          <w:tab w:val="left" w:pos="980"/>
        </w:tabs>
        <w:kinsoku w:val="0"/>
        <w:spacing w:line="360" w:lineRule="auto"/>
        <w:ind w:firstLine="480" w:firstLineChars="200"/>
        <w:rPr>
          <w:rFonts w:hint="eastAsia" w:ascii="宋体" w:hAnsi="宋体" w:cs="宋体"/>
          <w:color w:val="auto"/>
          <w:sz w:val="24"/>
          <w:highlight w:val="none"/>
        </w:rPr>
      </w:pPr>
    </w:p>
    <w:p w14:paraId="43D9CE86">
      <w:pPr>
        <w:tabs>
          <w:tab w:val="left" w:pos="980"/>
        </w:tabs>
        <w:kinsoku w:val="0"/>
        <w:spacing w:line="360" w:lineRule="auto"/>
        <w:ind w:firstLine="480" w:firstLineChars="200"/>
        <w:rPr>
          <w:rFonts w:hint="eastAsia" w:ascii="宋体" w:hAnsi="宋体" w:cs="宋体"/>
          <w:color w:val="auto"/>
          <w:sz w:val="24"/>
          <w:highlight w:val="none"/>
        </w:rPr>
      </w:pPr>
      <w:bookmarkStart w:id="1" w:name="_GoBack"/>
      <w:bookmarkEnd w:id="1"/>
      <w:r>
        <w:rPr>
          <w:rFonts w:hint="eastAsia" w:ascii="宋体" w:hAnsi="宋体" w:cs="宋体"/>
          <w:color w:val="auto"/>
          <w:sz w:val="24"/>
          <w:highlight w:val="none"/>
        </w:rPr>
        <w:t>甲方：</w:t>
      </w:r>
      <w:r>
        <w:rPr>
          <w:rFonts w:hint="eastAsia" w:ascii="宋体" w:hAnsi="宋体" w:cs="宋体"/>
          <w:color w:val="auto"/>
          <w:sz w:val="24"/>
          <w:highlight w:val="none"/>
          <w:u w:val="single"/>
        </w:rPr>
        <w:t>陕西省公路局（盖章）</w:t>
      </w:r>
      <w:r>
        <w:rPr>
          <w:rFonts w:hint="eastAsia" w:ascii="宋体" w:hAnsi="宋体" w:cs="宋体"/>
          <w:color w:val="auto"/>
          <w:sz w:val="24"/>
          <w:highlight w:val="none"/>
        </w:rPr>
        <w:t xml:space="preserve">                  </w:t>
      </w:r>
    </w:p>
    <w:p w14:paraId="079B6A1F">
      <w:pPr>
        <w:tabs>
          <w:tab w:val="left" w:pos="980"/>
        </w:tabs>
        <w:kinsoku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陕西省西安市碑林区含光北路110号</w:t>
      </w:r>
      <w:r>
        <w:rPr>
          <w:rFonts w:hint="eastAsia" w:ascii="宋体" w:hAnsi="宋体" w:cs="宋体"/>
          <w:color w:val="auto"/>
          <w:sz w:val="24"/>
          <w:highlight w:val="none"/>
        </w:rPr>
        <w:t xml:space="preserve"> </w:t>
      </w:r>
    </w:p>
    <w:p w14:paraId="09233838">
      <w:pPr>
        <w:tabs>
          <w:tab w:val="left" w:pos="980"/>
        </w:tabs>
        <w:kinsoku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开户行：</w:t>
      </w:r>
      <w:r>
        <w:rPr>
          <w:rFonts w:hint="eastAsia" w:ascii="宋体" w:hAnsi="宋体" w:cs="宋体"/>
          <w:color w:val="auto"/>
          <w:sz w:val="24"/>
          <w:highlight w:val="none"/>
          <w:u w:val="single"/>
        </w:rPr>
        <w:t>交通银行西安城南支行</w:t>
      </w:r>
    </w:p>
    <w:p w14:paraId="35714CE0">
      <w:pPr>
        <w:tabs>
          <w:tab w:val="left" w:pos="980"/>
        </w:tabs>
        <w:kinsoku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账号：</w:t>
      </w:r>
      <w:r>
        <w:rPr>
          <w:rFonts w:hint="eastAsia" w:ascii="宋体" w:hAnsi="宋体" w:cs="宋体"/>
          <w:color w:val="auto"/>
          <w:sz w:val="24"/>
          <w:highlight w:val="none"/>
          <w:u w:val="single"/>
        </w:rPr>
        <w:t>611301033018010000003</w:t>
      </w:r>
    </w:p>
    <w:p w14:paraId="390EE283">
      <w:pPr>
        <w:tabs>
          <w:tab w:val="left" w:pos="980"/>
        </w:tabs>
        <w:kinsoku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法定代表人或其授权                   </w:t>
      </w:r>
    </w:p>
    <w:p w14:paraId="34903931">
      <w:pPr>
        <w:tabs>
          <w:tab w:val="left" w:pos="980"/>
        </w:tabs>
        <w:kinsoku w:val="0"/>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 xml:space="preserve">的代理人：（签字） </w:t>
      </w:r>
      <w:r>
        <w:rPr>
          <w:rFonts w:hint="eastAsia" w:ascii="宋体" w:hAnsi="宋体" w:cs="宋体"/>
          <w:color w:val="auto"/>
          <w:sz w:val="24"/>
          <w:highlight w:val="none"/>
          <w:u w:val="single"/>
        </w:rPr>
        <w:t xml:space="preserve">                    </w:t>
      </w:r>
    </w:p>
    <w:p w14:paraId="41C03B1C">
      <w:pPr>
        <w:spacing w:line="360" w:lineRule="auto"/>
        <w:ind w:firstLine="420"/>
        <w:rPr>
          <w:rFonts w:hint="eastAsia" w:ascii="宋体" w:hAnsi="宋体" w:cs="宋体"/>
          <w:color w:val="auto"/>
          <w:sz w:val="24"/>
          <w:highlight w:val="none"/>
          <w:lang w:eastAsia="zh-Hans"/>
        </w:rPr>
      </w:pPr>
      <w:r>
        <w:rPr>
          <w:rFonts w:hint="eastAsia" w:ascii="宋体" w:hAnsi="宋体" w:cs="宋体"/>
          <w:color w:val="auto"/>
          <w:sz w:val="24"/>
          <w:highlight w:val="none"/>
        </w:rPr>
        <w:t xml:space="preserve">          </w:t>
      </w:r>
    </w:p>
    <w:p w14:paraId="0AA05E7D">
      <w:pPr>
        <w:pStyle w:val="7"/>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lang w:eastAsia="zh-CN"/>
        </w:rPr>
        <w:t>乙  方</w:t>
      </w:r>
      <w:r>
        <w:rPr>
          <w:rFonts w:ascii="宋体" w:hAnsi="宋体" w:cs="宋体"/>
          <w:color w:val="auto"/>
          <w:sz w:val="24"/>
          <w:szCs w:val="24"/>
          <w:highlight w:val="none"/>
        </w:rPr>
        <w:t>：</w:t>
      </w:r>
      <w:r>
        <w:rPr>
          <w:rFonts w:ascii="宋体" w:hAnsi="宋体" w:cs="宋体"/>
          <w:color w:val="auto"/>
          <w:sz w:val="24"/>
          <w:szCs w:val="24"/>
          <w:highlight w:val="none"/>
          <w:u w:val="single"/>
          <w:lang w:eastAsia="zh-CN"/>
        </w:rPr>
        <w:t xml:space="preserve">                        </w:t>
      </w:r>
      <w:r>
        <w:rPr>
          <w:rFonts w:ascii="宋体" w:hAnsi="宋体" w:cs="宋体"/>
          <w:color w:val="auto"/>
          <w:sz w:val="24"/>
          <w:szCs w:val="24"/>
          <w:highlight w:val="none"/>
          <w:u w:val="single"/>
        </w:rPr>
        <w:t>（盖章）</w:t>
      </w:r>
    </w:p>
    <w:p w14:paraId="1DEA1E74">
      <w:pPr>
        <w:pStyle w:val="7"/>
        <w:spacing w:line="360" w:lineRule="auto"/>
        <w:ind w:firstLine="480" w:firstLineChars="200"/>
        <w:rPr>
          <w:rFonts w:ascii="宋体" w:hAnsi="宋体" w:cs="宋体"/>
          <w:color w:val="auto"/>
          <w:sz w:val="24"/>
          <w:szCs w:val="24"/>
          <w:highlight w:val="none"/>
          <w:u w:val="single"/>
        </w:rPr>
      </w:pPr>
      <w:r>
        <w:rPr>
          <w:rFonts w:ascii="宋体" w:hAnsi="宋体" w:cs="宋体"/>
          <w:color w:val="auto"/>
          <w:sz w:val="24"/>
          <w:szCs w:val="24"/>
          <w:highlight w:val="none"/>
        </w:rPr>
        <w:t>地  址：</w:t>
      </w:r>
      <w:r>
        <w:rPr>
          <w:rFonts w:ascii="宋体" w:hAnsi="宋体" w:cs="宋体"/>
          <w:color w:val="auto"/>
          <w:sz w:val="24"/>
          <w:szCs w:val="24"/>
          <w:highlight w:val="none"/>
          <w:u w:val="single"/>
          <w:lang w:eastAsia="zh-CN"/>
        </w:rPr>
        <w:t xml:space="preserve">                             </w:t>
      </w:r>
      <w:r>
        <w:rPr>
          <w:rFonts w:ascii="宋体" w:hAnsi="宋体" w:cs="宋体"/>
          <w:color w:val="auto"/>
          <w:sz w:val="24"/>
          <w:szCs w:val="24"/>
          <w:highlight w:val="none"/>
          <w:u w:val="single"/>
        </w:rPr>
        <w:t xml:space="preserve">  </w:t>
      </w:r>
    </w:p>
    <w:p w14:paraId="7003B03C">
      <w:pPr>
        <w:tabs>
          <w:tab w:val="left" w:pos="980"/>
        </w:tabs>
        <w:kinsoku w:val="0"/>
        <w:spacing w:line="360" w:lineRule="auto"/>
        <w:ind w:firstLine="480" w:firstLineChars="200"/>
        <w:rPr>
          <w:rFonts w:hint="eastAsia" w:ascii="宋体" w:hAnsi="宋体" w:cs="宋体"/>
          <w:bCs/>
          <w:color w:val="auto"/>
          <w:sz w:val="24"/>
          <w:highlight w:val="none"/>
          <w:u w:val="single"/>
          <w:lang w:bidi="ar"/>
        </w:rPr>
      </w:pPr>
      <w:r>
        <w:rPr>
          <w:rFonts w:hint="eastAsia" w:ascii="宋体" w:hAnsi="宋体" w:cs="宋体"/>
          <w:color w:val="auto"/>
          <w:sz w:val="24"/>
          <w:highlight w:val="none"/>
        </w:rPr>
        <w:t>开户行：</w:t>
      </w:r>
      <w:r>
        <w:rPr>
          <w:rFonts w:hint="eastAsia" w:ascii="宋体" w:hAnsi="宋体" w:cs="宋体"/>
          <w:bCs/>
          <w:color w:val="auto"/>
          <w:sz w:val="24"/>
          <w:highlight w:val="none"/>
          <w:u w:val="single"/>
          <w:lang w:bidi="ar"/>
        </w:rPr>
        <w:t xml:space="preserve">                               </w:t>
      </w:r>
    </w:p>
    <w:p w14:paraId="14BF2041">
      <w:pPr>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lang w:bidi="ar"/>
        </w:rPr>
        <w:t>账  号：</w:t>
      </w:r>
      <w:r>
        <w:rPr>
          <w:rFonts w:hint="eastAsia" w:ascii="宋体" w:hAnsi="宋体" w:cs="宋体"/>
          <w:bCs/>
          <w:color w:val="auto"/>
          <w:sz w:val="24"/>
          <w:highlight w:val="none"/>
          <w:u w:val="single"/>
          <w:lang w:bidi="ar"/>
        </w:rPr>
        <w:t xml:space="preserve">                               </w:t>
      </w:r>
      <w:r>
        <w:rPr>
          <w:rFonts w:hint="eastAsia" w:ascii="宋体" w:hAnsi="宋体" w:cs="宋体"/>
          <w:color w:val="auto"/>
          <w:sz w:val="24"/>
          <w:highlight w:val="none"/>
        </w:rPr>
        <w:t xml:space="preserve">     </w:t>
      </w:r>
    </w:p>
    <w:p w14:paraId="0150E460">
      <w:pPr>
        <w:tabs>
          <w:tab w:val="left" w:pos="980"/>
        </w:tabs>
        <w:kinsoku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法定代表人或其授权                   </w:t>
      </w:r>
    </w:p>
    <w:p w14:paraId="4F08C5D3">
      <w:pPr>
        <w:tabs>
          <w:tab w:val="left" w:pos="980"/>
        </w:tabs>
        <w:kinsoku w:val="0"/>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 xml:space="preserve">的代理人：（签字） </w:t>
      </w:r>
      <w:r>
        <w:rPr>
          <w:rFonts w:hint="eastAsia" w:ascii="宋体" w:hAnsi="宋体" w:cs="宋体"/>
          <w:color w:val="auto"/>
          <w:sz w:val="24"/>
          <w:highlight w:val="none"/>
          <w:u w:val="single"/>
        </w:rPr>
        <w:t xml:space="preserve">                    </w:t>
      </w:r>
    </w:p>
    <w:p w14:paraId="69E21DF5">
      <w:pPr>
        <w:spacing w:line="360" w:lineRule="auto"/>
        <w:ind w:firstLine="420"/>
        <w:jc w:val="right"/>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 xml:space="preserve">年   </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月</w:t>
      </w:r>
      <w:r>
        <w:rPr>
          <w:rFonts w:hint="eastAsia" w:ascii="宋体" w:hAnsi="宋体" w:cs="宋体"/>
          <w:color w:val="auto"/>
          <w:sz w:val="24"/>
          <w:highlight w:val="none"/>
        </w:rPr>
        <w:t xml:space="preserve">    </w:t>
      </w:r>
      <w:r>
        <w:rPr>
          <w:rFonts w:hint="eastAsia" w:ascii="宋体" w:hAnsi="宋体" w:cs="宋体"/>
          <w:color w:val="auto"/>
          <w:sz w:val="24"/>
          <w:highlight w:val="none"/>
          <w:lang w:eastAsia="zh-Hans"/>
        </w:rPr>
        <w:t>日</w:t>
      </w:r>
    </w:p>
    <w:p w14:paraId="3D9CD9FE">
      <w:pPr>
        <w:pStyle w:val="7"/>
        <w:adjustRightInd w:val="0"/>
        <w:snapToGrid w:val="0"/>
        <w:spacing w:line="360" w:lineRule="auto"/>
        <w:rPr>
          <w:rFonts w:ascii="宋体" w:hAnsi="宋体" w:cs="宋体"/>
          <w:color w:val="auto"/>
          <w:sz w:val="24"/>
          <w:szCs w:val="24"/>
          <w:highlight w:val="none"/>
        </w:rPr>
      </w:pPr>
    </w:p>
    <w:p w14:paraId="40333A76"/>
    <w:sectPr>
      <w:pgSz w:w="11906" w:h="16838"/>
      <w:pgMar w:top="1417"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F5388E"/>
    <w:rsid w:val="1BF5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2026-05-11T09:22:00Z</dcterms:created>
  <dc:creator>　　　　　　　　</dc:creator>
  <cp:lastModifiedBy>　　　　　　　　</cp:lastModifiedBy>
  <dcterms:modified xsi:type="dcterms:W3CDTF">2026-05-11T09:23:23Z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0B1D25E8433D4096A2492D54F590A78F_11</vt:lpwstr>
  </property>
  <property fmtid="{D5CDD505-2E9C-101B-9397-08002B2CF9AE}" pid="4" name="KSOTemplateDocerSaveRecord">
    <vt:lpwstr>eyJoZGlkIjoiNDUwYWVjMTIwNWQ0MzEzNWYzZDdmZTRkNzk5NjUyOTIiLCJ1c2VySWQiOiIzMTE3MjAwMTYifQ==</vt:lpwstr>
  </property>
</Properties>
</file>